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압류범위변경 신청 준비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압류 법원·사건번호: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신청인·상대방·제3채무자: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계좌와 현재 잔액: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신청취지: [어떤 범위를 변경할지 검토 후 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신청이유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1. [입금 출처·급여·복지급여 등]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2. [생활비 필요와 가족·지출 상태]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3. [다른 계좌·현금·재산 및 보호 범위]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소명자료: [잔액·거래·급여·생활비 관련 자료]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[2026년 변경의 적용 시점과 사건별 요건을 확인합니다.]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